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A149" w14:textId="77777777" w:rsidR="003B6649" w:rsidRPr="0078308F" w:rsidRDefault="003B6649" w:rsidP="003B6649">
      <w:pPr>
        <w:spacing w:line="240" w:lineRule="auto"/>
        <w:jc w:val="center"/>
        <w:rPr>
          <w:rFonts w:ascii="Times New Roman" w:eastAsia="Aptos" w:hAnsi="Times New Roman" w:cs="Times New Roman"/>
          <w:b/>
          <w:bCs/>
        </w:rPr>
      </w:pPr>
      <w:r w:rsidRPr="0078308F">
        <w:rPr>
          <w:rFonts w:ascii="Times New Roman" w:eastAsia="Aptos" w:hAnsi="Times New Roman" w:cs="Times New Roman"/>
          <w:b/>
          <w:bCs/>
        </w:rPr>
        <w:t>Arts and Sciences Curriculum Committee</w:t>
      </w:r>
    </w:p>
    <w:p w14:paraId="2CA0633C" w14:textId="651304B3" w:rsidR="003B6649" w:rsidRPr="0078308F" w:rsidRDefault="00A54268" w:rsidP="003B6649">
      <w:pPr>
        <w:spacing w:line="240" w:lineRule="auto"/>
        <w:jc w:val="center"/>
        <w:rPr>
          <w:rFonts w:ascii="Times New Roman" w:eastAsia="Aptos" w:hAnsi="Times New Roman" w:cs="Times New Roman"/>
        </w:rPr>
      </w:pPr>
      <w:r>
        <w:rPr>
          <w:rFonts w:ascii="Times New Roman" w:eastAsia="Aptos" w:hAnsi="Times New Roman" w:cs="Times New Roman"/>
        </w:rPr>
        <w:t>Unappr</w:t>
      </w:r>
      <w:r w:rsidR="005E4403">
        <w:rPr>
          <w:rFonts w:ascii="Times New Roman" w:eastAsia="Aptos" w:hAnsi="Times New Roman" w:cs="Times New Roman"/>
        </w:rPr>
        <w:t>oved</w:t>
      </w:r>
      <w:r w:rsidR="003B6649" w:rsidRPr="0078308F">
        <w:rPr>
          <w:rFonts w:ascii="Times New Roman" w:eastAsia="Aptos" w:hAnsi="Times New Roman" w:cs="Times New Roman"/>
        </w:rPr>
        <w:t xml:space="preserve"> Minutes</w:t>
      </w:r>
    </w:p>
    <w:p w14:paraId="200BB610" w14:textId="51568845" w:rsidR="003B6649" w:rsidRPr="0078308F" w:rsidRDefault="003B6649" w:rsidP="003B6649">
      <w:pPr>
        <w:spacing w:line="240" w:lineRule="auto"/>
        <w:rPr>
          <w:rFonts w:ascii="Times New Roman" w:eastAsia="Aptos" w:hAnsi="Times New Roman" w:cs="Times New Roman"/>
        </w:rPr>
      </w:pPr>
      <w:r w:rsidRPr="0078308F">
        <w:rPr>
          <w:rFonts w:ascii="Times New Roman" w:eastAsia="Aptos" w:hAnsi="Times New Roman" w:cs="Times New Roman"/>
        </w:rPr>
        <w:t>Friday, January 16</w:t>
      </w:r>
      <w:r w:rsidRPr="0078308F">
        <w:rPr>
          <w:rFonts w:ascii="Times New Roman" w:eastAsia="Aptos" w:hAnsi="Times New Roman" w:cs="Times New Roman"/>
          <w:vertAlign w:val="superscript"/>
        </w:rPr>
        <w:t>th</w:t>
      </w:r>
      <w:r w:rsidRPr="0078308F">
        <w:rPr>
          <w:rFonts w:ascii="Times New Roman" w:eastAsia="Aptos" w:hAnsi="Times New Roman" w:cs="Times New Roman"/>
        </w:rPr>
        <w:t>, 2026</w:t>
      </w:r>
      <w:r w:rsidRPr="0078308F">
        <w:rPr>
          <w:rFonts w:ascii="Times New Roman" w:eastAsia="Aptos" w:hAnsi="Times New Roman" w:cs="Times New Roman"/>
        </w:rPr>
        <w:tab/>
      </w:r>
      <w:r w:rsidRPr="0078308F">
        <w:rPr>
          <w:rFonts w:ascii="Times New Roman" w:eastAsia="Aptos" w:hAnsi="Times New Roman" w:cs="Times New Roman"/>
        </w:rPr>
        <w:tab/>
      </w:r>
      <w:r w:rsidRPr="0078308F">
        <w:rPr>
          <w:rFonts w:ascii="Times New Roman" w:eastAsia="Aptos" w:hAnsi="Times New Roman" w:cs="Times New Roman"/>
        </w:rPr>
        <w:tab/>
      </w:r>
      <w:r w:rsidRPr="0078308F">
        <w:rPr>
          <w:rFonts w:ascii="Times New Roman" w:eastAsia="Aptos" w:hAnsi="Times New Roman" w:cs="Times New Roman"/>
        </w:rPr>
        <w:tab/>
      </w:r>
      <w:r w:rsidRPr="0078308F">
        <w:rPr>
          <w:rFonts w:ascii="Times New Roman" w:eastAsia="Aptos" w:hAnsi="Times New Roman" w:cs="Times New Roman"/>
        </w:rPr>
        <w:tab/>
      </w:r>
      <w:r w:rsidRPr="0078308F">
        <w:rPr>
          <w:rFonts w:ascii="Times New Roman" w:eastAsia="Aptos" w:hAnsi="Times New Roman" w:cs="Times New Roman"/>
        </w:rPr>
        <w:tab/>
        <w:t xml:space="preserve">               9:00AM – 11:00AM</w:t>
      </w:r>
    </w:p>
    <w:p w14:paraId="7C543F4D" w14:textId="77777777" w:rsidR="003B6649" w:rsidRPr="0078308F" w:rsidRDefault="003B6649" w:rsidP="003B6649">
      <w:pPr>
        <w:spacing w:line="240" w:lineRule="auto"/>
        <w:rPr>
          <w:rFonts w:ascii="Times New Roman" w:eastAsia="Aptos" w:hAnsi="Times New Roman" w:cs="Times New Roman"/>
        </w:rPr>
      </w:pPr>
      <w:r w:rsidRPr="0078308F">
        <w:rPr>
          <w:rFonts w:ascii="Times New Roman" w:eastAsia="Aptos" w:hAnsi="Times New Roman" w:cs="Times New Roman"/>
        </w:rPr>
        <w:t xml:space="preserve">University 156 </w:t>
      </w:r>
    </w:p>
    <w:p w14:paraId="470D75B7" w14:textId="41D1AFE6" w:rsidR="003B6649" w:rsidRPr="0078308F" w:rsidRDefault="003B6649" w:rsidP="003B6649">
      <w:pPr>
        <w:rPr>
          <w:rFonts w:ascii="Times New Roman" w:eastAsia="Aptos" w:hAnsi="Times New Roman" w:cs="Times New Roman"/>
        </w:rPr>
      </w:pPr>
      <w:r w:rsidRPr="0078308F">
        <w:rPr>
          <w:rFonts w:ascii="Times New Roman" w:eastAsia="Aptos" w:hAnsi="Times New Roman" w:cs="Times New Roman"/>
          <w:b/>
          <w:bCs/>
        </w:rPr>
        <w:t>Attendees</w:t>
      </w:r>
      <w:r w:rsidRPr="0078308F">
        <w:rPr>
          <w:rFonts w:ascii="Times New Roman" w:eastAsia="Aptos" w:hAnsi="Times New Roman" w:cs="Times New Roman"/>
        </w:rPr>
        <w:t>: Beecher, Bitters, Brenner, Daly, Dwyer, Gilbo, Heckler, Hedgecoth, Jenkins, Lee, Martin, Nagar, Neff, Ottesen, Pradhan, Romero, Smith, Staley, Steele, Vankeerbergen, Wade, Xiao</w:t>
      </w:r>
    </w:p>
    <w:p w14:paraId="6A69DA59" w14:textId="77777777" w:rsidR="003B6649" w:rsidRPr="0078308F" w:rsidRDefault="003B6649" w:rsidP="003B6649">
      <w:pPr>
        <w:rPr>
          <w:rFonts w:ascii="Times New Roman" w:eastAsia="Aptos" w:hAnsi="Times New Roman" w:cs="Times New Roman"/>
          <w:b/>
          <w:bCs/>
        </w:rPr>
      </w:pPr>
      <w:r w:rsidRPr="0078308F">
        <w:rPr>
          <w:rFonts w:ascii="Times New Roman" w:eastAsia="Aptos" w:hAnsi="Times New Roman" w:cs="Times New Roman"/>
          <w:b/>
          <w:bCs/>
        </w:rPr>
        <w:t>Agenda</w:t>
      </w:r>
    </w:p>
    <w:p w14:paraId="02FB350F" w14:textId="7CBC0A1B" w:rsidR="003B6649" w:rsidRPr="0078308F" w:rsidRDefault="00810B48" w:rsidP="00810B48">
      <w:pPr>
        <w:pStyle w:val="ListParagraph"/>
        <w:numPr>
          <w:ilvl w:val="0"/>
          <w:numId w:val="3"/>
        </w:numPr>
        <w:rPr>
          <w:rFonts w:ascii="Times New Roman" w:eastAsia="Aptos" w:hAnsi="Times New Roman" w:cs="Times New Roman"/>
        </w:rPr>
      </w:pPr>
      <w:r w:rsidRPr="0078308F">
        <w:rPr>
          <w:rFonts w:ascii="Times New Roman" w:eastAsia="Aptos" w:hAnsi="Times New Roman" w:cs="Times New Roman"/>
        </w:rPr>
        <w:t>Approval of the 12-05-2025 Minutes</w:t>
      </w:r>
    </w:p>
    <w:p w14:paraId="34D259A7" w14:textId="63F8D8C8" w:rsidR="003B6649" w:rsidRPr="0078308F" w:rsidRDefault="003B6649" w:rsidP="003B6649">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Romero, Hedgecoth; approved with one abstention. </w:t>
      </w:r>
    </w:p>
    <w:p w14:paraId="7A2F3738" w14:textId="2BB22707" w:rsidR="003B6649" w:rsidRPr="0078308F" w:rsidRDefault="00810B48" w:rsidP="00810B48">
      <w:pPr>
        <w:pStyle w:val="ListParagraph"/>
        <w:numPr>
          <w:ilvl w:val="0"/>
          <w:numId w:val="3"/>
        </w:numPr>
        <w:rPr>
          <w:rFonts w:ascii="Times New Roman" w:eastAsia="Aptos" w:hAnsi="Times New Roman" w:cs="Times New Roman"/>
        </w:rPr>
      </w:pPr>
      <w:r w:rsidRPr="0078308F">
        <w:rPr>
          <w:rFonts w:ascii="Times New Roman" w:eastAsia="Aptos" w:hAnsi="Times New Roman" w:cs="Times New Roman"/>
        </w:rPr>
        <w:t>NESA Major Revision (Guests: I. Nagar and N. Brenner)</w:t>
      </w:r>
    </w:p>
    <w:p w14:paraId="37B8A200" w14:textId="0B23C5E0" w:rsidR="003B6649" w:rsidRPr="0078308F" w:rsidRDefault="00810B48" w:rsidP="003B6649">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Arts and Humanities Subcommittee 1 Letter of Motion: On December 9</w:t>
      </w:r>
      <w:r w:rsidRPr="0078308F">
        <w:rPr>
          <w:rFonts w:ascii="Times New Roman" w:eastAsia="Aptos" w:hAnsi="Times New Roman" w:cs="Times New Roman"/>
          <w:vertAlign w:val="superscript"/>
        </w:rPr>
        <w:t>th</w:t>
      </w:r>
      <w:r w:rsidRPr="0078308F">
        <w:rPr>
          <w:rFonts w:ascii="Times New Roman" w:eastAsia="Aptos" w:hAnsi="Times New Roman" w:cs="Times New Roman"/>
        </w:rPr>
        <w:t>, 2025, the Arts and Humanities Subcommittee 1 reviewed a request from the Department of Near Eastern and South Asian Languages and Culture</w:t>
      </w:r>
      <w:r w:rsidR="00C42144">
        <w:rPr>
          <w:rFonts w:ascii="Times New Roman" w:eastAsia="Aptos" w:hAnsi="Times New Roman" w:cs="Times New Roman"/>
        </w:rPr>
        <w:t>s</w:t>
      </w:r>
      <w:r w:rsidRPr="0078308F">
        <w:rPr>
          <w:rFonts w:ascii="Times New Roman" w:eastAsia="Aptos" w:hAnsi="Times New Roman" w:cs="Times New Roman"/>
        </w:rPr>
        <w:t xml:space="preserve"> to consolidate its existing majors (Arabic, Hebrew and Jewish Studies, and Islamic Studies) into a single major with four specializations: Arabic/Islamic Studies, Ancient Near East/Modern Middle East, Hebrew/Jewish Studies, and South Asia Studies. The revised structure provides clearer pathways aligned with student interests and faculty expertise, particularly in the Ancient Near East/Modern Middle East and South Asia. The</w:t>
      </w:r>
      <w:r w:rsidR="00701ACB" w:rsidRPr="0078308F">
        <w:rPr>
          <w:rFonts w:ascii="Times New Roman" w:eastAsia="Aptos" w:hAnsi="Times New Roman" w:cs="Times New Roman"/>
        </w:rPr>
        <w:t xml:space="preserve">se changes </w:t>
      </w:r>
      <w:r w:rsidRPr="0078308F">
        <w:rPr>
          <w:rFonts w:ascii="Times New Roman" w:eastAsia="Aptos" w:hAnsi="Times New Roman" w:cs="Times New Roman"/>
        </w:rPr>
        <w:t>will take effect in Autumn 2026; current students may complete their original major or opt into the new structure. Fewer than seven students will be affected. The major requires 8-10 courses totaling at least 30 credit hours, including language, specialization, breadth, and a capstone course (NELC/SASIA 4900). The Subcommittee voted unanimously to approve the proposal with comments and recommendations which have since been addressed. The proposal is now advanced to the Arts and Sciences Curriculum Committee with a motion to approve.</w:t>
      </w:r>
    </w:p>
    <w:p w14:paraId="531F2A2A" w14:textId="7F1714E0" w:rsidR="00810B48" w:rsidRPr="0078308F" w:rsidRDefault="00810B48" w:rsidP="003B6649">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Martin: From a recruiting perspective, it would be helpful to emphasize to students that even though they would be enrolled under a single major, they can pursue distinct paths aligned with the area of interest. </w:t>
      </w:r>
    </w:p>
    <w:p w14:paraId="251A0DA2" w14:textId="5DB86E56" w:rsidR="00810B48" w:rsidRPr="0078308F" w:rsidRDefault="00810B48" w:rsidP="00810B48">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Brenner: We agree and recognize that this is an area we need to develop further. We focused significant effort on ensuring the proposal accurately reflects the department and its strengths, but we need to improve how we communicate these options to students. </w:t>
      </w:r>
    </w:p>
    <w:p w14:paraId="1A5E918E" w14:textId="756568F5" w:rsidR="00810B48" w:rsidRPr="0078308F" w:rsidRDefault="00810B48" w:rsidP="00810B48">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Committee member: The proposal mentions that this change would affect no more than seven students. Could you clarify whether that figure is students currently in your majors</w:t>
      </w:r>
      <w:r w:rsidR="00FE0DBE" w:rsidRPr="0078308F">
        <w:rPr>
          <w:rFonts w:ascii="Times New Roman" w:eastAsia="Aptos" w:hAnsi="Times New Roman" w:cs="Times New Roman"/>
        </w:rPr>
        <w:t>?</w:t>
      </w:r>
    </w:p>
    <w:p w14:paraId="7D8CFED4" w14:textId="48A3438E" w:rsidR="00FE0DBE" w:rsidRPr="0078308F" w:rsidRDefault="00FE0DBE" w:rsidP="00FE0DBE">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lastRenderedPageBreak/>
        <w:t xml:space="preserve">Brenner: Our majors are very small. That figure reflects the number of students currently declared in one of our majors, not the projected enrollment of the revised program. </w:t>
      </w:r>
    </w:p>
    <w:p w14:paraId="16A22D2B" w14:textId="61159A22" w:rsidR="00FE0DBE" w:rsidRPr="0078308F" w:rsidRDefault="00FE0DBE" w:rsidP="00FE0DBE">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Letter of motion, Staley; unanimously approved. </w:t>
      </w:r>
    </w:p>
    <w:p w14:paraId="00665716" w14:textId="5B14AEDB" w:rsidR="003B6649" w:rsidRPr="0078308F" w:rsidRDefault="00810B48" w:rsidP="00810B48">
      <w:pPr>
        <w:pStyle w:val="ListParagraph"/>
        <w:numPr>
          <w:ilvl w:val="0"/>
          <w:numId w:val="3"/>
        </w:numPr>
        <w:rPr>
          <w:rFonts w:ascii="Times New Roman" w:eastAsia="Aptos" w:hAnsi="Times New Roman" w:cs="Times New Roman"/>
        </w:rPr>
      </w:pPr>
      <w:r w:rsidRPr="0078308F">
        <w:rPr>
          <w:rFonts w:ascii="Times New Roman" w:eastAsia="Aptos" w:hAnsi="Times New Roman" w:cs="Times New Roman"/>
        </w:rPr>
        <w:t>Informational Item: Public Affairs Journalism Major (I. Nagar)</w:t>
      </w:r>
    </w:p>
    <w:p w14:paraId="5CE75966" w14:textId="61E90846" w:rsidR="00FE0DBE" w:rsidRPr="0078308F" w:rsidRDefault="00FE0DBE" w:rsidP="00FE0DBE">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Nagar: The Public Affairs Journalism Major Committee in the School of Communication requests that COMM 4445 (Stereotypes in Media) be added to the Critical Thinking Skills area of the Journalism major. The course aligns closely with the goals of the Critical Thinking Skills requirement by examining how stereotypes are constructed and circulated in media and their implications for news consumption and production. This change would also provide a stable alternative to COMM 3597.02 (Media and Terrorism), which will no longer be offered due to a faculty retirement, thereby increasing curricular flexibility for students.</w:t>
      </w:r>
    </w:p>
    <w:p w14:paraId="71279538" w14:textId="3AAF62B8" w:rsidR="003B6649" w:rsidRPr="0078308F" w:rsidRDefault="00810B48" w:rsidP="00810B48">
      <w:pPr>
        <w:pStyle w:val="ListParagraph"/>
        <w:numPr>
          <w:ilvl w:val="0"/>
          <w:numId w:val="3"/>
        </w:numPr>
        <w:rPr>
          <w:rFonts w:ascii="Times New Roman" w:eastAsia="Aptos" w:hAnsi="Times New Roman" w:cs="Times New Roman"/>
        </w:rPr>
      </w:pPr>
      <w:r w:rsidRPr="0078308F">
        <w:rPr>
          <w:rFonts w:ascii="Times New Roman" w:eastAsia="Aptos" w:hAnsi="Times New Roman" w:cs="Times New Roman"/>
        </w:rPr>
        <w:t>ULAC Annual Report (Guest: M. Daly)</w:t>
      </w:r>
    </w:p>
    <w:p w14:paraId="56ECD20A" w14:textId="14DF9D00" w:rsidR="00FE0DBE" w:rsidRPr="0078308F" w:rsidRDefault="00FE0DBE" w:rsidP="00FE0DBE">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Daly: I </w:t>
      </w:r>
      <w:r w:rsidR="009727D2">
        <w:rPr>
          <w:rFonts w:ascii="Times New Roman" w:eastAsia="Aptos" w:hAnsi="Times New Roman" w:cs="Times New Roman"/>
        </w:rPr>
        <w:t xml:space="preserve">want to share the </w:t>
      </w:r>
      <w:r w:rsidR="0072508A" w:rsidRPr="0072508A">
        <w:rPr>
          <w:rFonts w:ascii="Times New Roman" w:eastAsia="Aptos" w:hAnsi="Times New Roman" w:cs="Times New Roman"/>
        </w:rPr>
        <w:t>University-level Advisory Committee</w:t>
      </w:r>
      <w:r w:rsidR="0072508A">
        <w:rPr>
          <w:rFonts w:ascii="Times New Roman" w:eastAsia="Aptos" w:hAnsi="Times New Roman" w:cs="Times New Roman"/>
          <w:b/>
          <w:bCs/>
        </w:rPr>
        <w:t xml:space="preserve"> </w:t>
      </w:r>
      <w:r w:rsidRPr="0078308F">
        <w:rPr>
          <w:rFonts w:ascii="Times New Roman" w:eastAsia="Aptos" w:hAnsi="Times New Roman" w:cs="Times New Roman"/>
        </w:rPr>
        <w:t>report submitted to CAA summarizing our work in 2024-2025</w:t>
      </w:r>
      <w:r w:rsidR="0045696C">
        <w:rPr>
          <w:rFonts w:ascii="Times New Roman" w:eastAsia="Aptos" w:hAnsi="Times New Roman" w:cs="Times New Roman"/>
        </w:rPr>
        <w:t>.</w:t>
      </w:r>
      <w:r w:rsidRPr="0078308F">
        <w:rPr>
          <w:rFonts w:ascii="Times New Roman" w:eastAsia="Aptos" w:hAnsi="Times New Roman" w:cs="Times New Roman"/>
        </w:rPr>
        <w:t xml:space="preserve"> The report highlights key areas of ULAC’s work, including managing the Bookends, evaluating courses coming from outside OSU with no internal equivalent, and reviewing trends in GE course approval. </w:t>
      </w:r>
      <w:r w:rsidR="0081449C">
        <w:rPr>
          <w:rFonts w:ascii="Times New Roman" w:eastAsia="Aptos" w:hAnsi="Times New Roman" w:cs="Times New Roman"/>
        </w:rPr>
        <w:t>I a</w:t>
      </w:r>
      <w:r w:rsidRPr="0078308F">
        <w:rPr>
          <w:rFonts w:ascii="Times New Roman" w:eastAsia="Aptos" w:hAnsi="Times New Roman" w:cs="Times New Roman"/>
        </w:rPr>
        <w:t xml:space="preserve">m particularly excited about the addition of a High-Impact Practice in World Languages. This creates an opportunity for students to take world language courses </w:t>
      </w:r>
      <w:proofErr w:type="gramStart"/>
      <w:r w:rsidRPr="0078308F">
        <w:rPr>
          <w:rFonts w:ascii="Times New Roman" w:eastAsia="Aptos" w:hAnsi="Times New Roman" w:cs="Times New Roman"/>
        </w:rPr>
        <w:t>as</w:t>
      </w:r>
      <w:proofErr w:type="gramEnd"/>
      <w:r w:rsidRPr="0078308F">
        <w:rPr>
          <w:rFonts w:ascii="Times New Roman" w:eastAsia="Aptos" w:hAnsi="Times New Roman" w:cs="Times New Roman"/>
        </w:rPr>
        <w:t xml:space="preserve"> HIP courses, extending beyond what was originally envisioned for the GE. Students might take a Spanish course focused on citizenship topics, or a course that examines language and culture without requiring prior language proficiency. This was an important equity issue, as World Language majors previously had no 4-credit GE Themes courses available within their majors. This also supports double-majoring, which is common among World Language students, especially across colleges, and may encourage students outside ASC to explore language study.</w:t>
      </w:r>
    </w:p>
    <w:p w14:paraId="593CD236" w14:textId="03030C73" w:rsidR="00FE0DBE" w:rsidRPr="0078308F" w:rsidRDefault="00FE0DBE" w:rsidP="00FE0DBE">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Vankeerbergen: Looking at the report, do you have an explanation for why some Foundation</w:t>
      </w:r>
      <w:r w:rsidR="00655C6F" w:rsidRPr="0078308F">
        <w:rPr>
          <w:rFonts w:ascii="Times New Roman" w:eastAsia="Aptos" w:hAnsi="Times New Roman" w:cs="Times New Roman"/>
        </w:rPr>
        <w:t>s</w:t>
      </w:r>
      <w:r w:rsidRPr="0078308F">
        <w:rPr>
          <w:rFonts w:ascii="Times New Roman" w:eastAsia="Aptos" w:hAnsi="Times New Roman" w:cs="Times New Roman"/>
        </w:rPr>
        <w:t xml:space="preserve">: Race, Ethnicity and Gender Diversity courses do not enroll as well as expected? </w:t>
      </w:r>
    </w:p>
    <w:p w14:paraId="4D30ACE1" w14:textId="0CEAB02A" w:rsidR="00FE0DBE" w:rsidRPr="0078308F" w:rsidRDefault="00FE0DBE" w:rsidP="00FE0DBE">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Daly: Enrollment is often driven by time, location, and student perceptions of the course. Courses offered in prime time tend to enroll better. At a macro level, these factors explain much of the variation. There can also be scheduling constraints within majors, </w:t>
      </w:r>
      <w:r w:rsidR="00197C87">
        <w:rPr>
          <w:rFonts w:ascii="Times New Roman" w:eastAsia="Aptos" w:hAnsi="Times New Roman" w:cs="Times New Roman"/>
        </w:rPr>
        <w:t>or</w:t>
      </w:r>
      <w:r w:rsidRPr="0078308F">
        <w:rPr>
          <w:rFonts w:ascii="Times New Roman" w:eastAsia="Aptos" w:hAnsi="Times New Roman" w:cs="Times New Roman"/>
        </w:rPr>
        <w:t xml:space="preserve"> when courses conflict with popular offerings in other units. It may be helpful </w:t>
      </w:r>
      <w:r w:rsidR="00196201">
        <w:rPr>
          <w:rFonts w:ascii="Times New Roman" w:eastAsia="Aptos" w:hAnsi="Times New Roman" w:cs="Times New Roman"/>
        </w:rPr>
        <w:t xml:space="preserve">when scheduling a class </w:t>
      </w:r>
      <w:r w:rsidRPr="0078308F">
        <w:rPr>
          <w:rFonts w:ascii="Times New Roman" w:eastAsia="Aptos" w:hAnsi="Times New Roman" w:cs="Times New Roman"/>
        </w:rPr>
        <w:t xml:space="preserve">to look at ASC data to understand what else is scheduled at the same times across campus. </w:t>
      </w:r>
    </w:p>
    <w:p w14:paraId="1616F11F" w14:textId="2F790124" w:rsidR="00FE0DBE" w:rsidRPr="0078308F" w:rsidRDefault="00FE0DBE" w:rsidP="00FE0DBE">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lastRenderedPageBreak/>
        <w:t>Committee member: Could modality be a factor? Online courses seem</w:t>
      </w:r>
      <w:r w:rsidR="0068552F">
        <w:rPr>
          <w:rFonts w:ascii="Times New Roman" w:eastAsia="Aptos" w:hAnsi="Times New Roman" w:cs="Times New Roman"/>
        </w:rPr>
        <w:t xml:space="preserve"> </w:t>
      </w:r>
      <w:r w:rsidRPr="0078308F">
        <w:rPr>
          <w:rFonts w:ascii="Times New Roman" w:eastAsia="Aptos" w:hAnsi="Times New Roman" w:cs="Times New Roman"/>
        </w:rPr>
        <w:t>to enroll better.</w:t>
      </w:r>
    </w:p>
    <w:p w14:paraId="73BA5B38" w14:textId="5E811D83" w:rsidR="00FE0DBE" w:rsidRPr="0078308F" w:rsidRDefault="00FE0DBE" w:rsidP="00FE0DBE">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Daly: Modality does address some of the scheduling and access issues. Asynchronous courses tend to fill quickly. </w:t>
      </w:r>
    </w:p>
    <w:p w14:paraId="74057E53" w14:textId="05B90FA0" w:rsidR="00FE0DBE" w:rsidRPr="0078308F" w:rsidRDefault="00FE0DBE" w:rsidP="00FE0DBE">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Vankeerbergen: Are there Theme</w:t>
      </w:r>
      <w:r w:rsidR="008B3F03">
        <w:rPr>
          <w:rFonts w:ascii="Times New Roman" w:eastAsia="Aptos" w:hAnsi="Times New Roman" w:cs="Times New Roman"/>
        </w:rPr>
        <w:t>s</w:t>
      </w:r>
      <w:r w:rsidRPr="0078308F">
        <w:rPr>
          <w:rFonts w:ascii="Times New Roman" w:eastAsia="Aptos" w:hAnsi="Times New Roman" w:cs="Times New Roman"/>
        </w:rPr>
        <w:t xml:space="preserve"> categories that need additional courses?</w:t>
      </w:r>
    </w:p>
    <w:p w14:paraId="3BB2020E" w14:textId="0E2FF044" w:rsidR="00FE0DBE" w:rsidRPr="0078308F" w:rsidRDefault="00655C6F" w:rsidP="00FE0DBE">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Daly: I do</w:t>
      </w:r>
      <w:r w:rsidR="008B3F03">
        <w:rPr>
          <w:rFonts w:ascii="Times New Roman" w:eastAsia="Aptos" w:hAnsi="Times New Roman" w:cs="Times New Roman"/>
        </w:rPr>
        <w:t xml:space="preserve"> no</w:t>
      </w:r>
      <w:r w:rsidRPr="0078308F">
        <w:rPr>
          <w:rFonts w:ascii="Times New Roman" w:eastAsia="Aptos" w:hAnsi="Times New Roman" w:cs="Times New Roman"/>
        </w:rPr>
        <w:t xml:space="preserve">t think there is a clear need for more courses in certain categories overall. Origins &amp; Evolution is heavily NMS focused, so there may be opportunities for Arts and Humanities units to contribute courses there. Students tend to choose courses that align with their majors or disciplines, </w:t>
      </w:r>
      <w:r w:rsidR="008B3F03">
        <w:rPr>
          <w:rFonts w:ascii="Times New Roman" w:eastAsia="Aptos" w:hAnsi="Times New Roman" w:cs="Times New Roman"/>
        </w:rPr>
        <w:t xml:space="preserve">so it is </w:t>
      </w:r>
      <w:r w:rsidRPr="0078308F">
        <w:rPr>
          <w:rFonts w:ascii="Times New Roman" w:eastAsia="Aptos" w:hAnsi="Times New Roman" w:cs="Times New Roman"/>
        </w:rPr>
        <w:t>important to maintain breadth across all Themes categories.</w:t>
      </w:r>
    </w:p>
    <w:p w14:paraId="0997D822" w14:textId="507BC65C" w:rsidR="00655C6F" w:rsidRPr="0078308F" w:rsidRDefault="00655C6F" w:rsidP="00655C6F">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Ottesen: We should double-check the enrollment numbers for LVPA and Natural Sciences, since those appear to decline significantly based on the report. </w:t>
      </w:r>
    </w:p>
    <w:p w14:paraId="3780046A" w14:textId="779437D4" w:rsidR="00655C6F" w:rsidRPr="0078308F" w:rsidRDefault="00655C6F" w:rsidP="00655C6F">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Daly: These data reflect enrollment </w:t>
      </w:r>
      <w:r w:rsidRPr="000B2AB4">
        <w:rPr>
          <w:rFonts w:ascii="Times New Roman" w:eastAsia="Aptos" w:hAnsi="Times New Roman" w:cs="Times New Roman"/>
        </w:rPr>
        <w:t>in</w:t>
      </w:r>
      <w:r w:rsidRPr="0078308F">
        <w:rPr>
          <w:rFonts w:ascii="Times New Roman" w:eastAsia="Aptos" w:hAnsi="Times New Roman" w:cs="Times New Roman"/>
        </w:rPr>
        <w:t xml:space="preserve"> courses labeled as GE, not how students are </w:t>
      </w:r>
      <w:r w:rsidRPr="0078308F">
        <w:rPr>
          <w:rFonts w:ascii="Times New Roman" w:eastAsia="Aptos" w:hAnsi="Times New Roman" w:cs="Times New Roman"/>
          <w:i/>
          <w:iCs/>
        </w:rPr>
        <w:t>using</w:t>
      </w:r>
      <w:r w:rsidRPr="0078308F">
        <w:rPr>
          <w:rFonts w:ascii="Times New Roman" w:eastAsia="Aptos" w:hAnsi="Times New Roman" w:cs="Times New Roman"/>
        </w:rPr>
        <w:t xml:space="preserve"> those courses. LVPA does decline, and for 2024-2025 most students are in the New GE whereas previously most were in the Legacy GE. Under the GEL, students were required to take two LVPA courses, which supported enrollment in non-major courses. As for Natural Sciences, many courses, particularly non-lab NMS courses aimed at non-majors, no longer meet GE requirements and are losing enrollment. This impact is more pronounced in units like Entomology, Horticulture and Crop Science, and Plant Pathology. It would be useful to look at the numbers for major-level versus non-major-level courses, since major-level courses appear to be holding enrollment better.</w:t>
      </w:r>
    </w:p>
    <w:p w14:paraId="77438517" w14:textId="01D50861" w:rsidR="00655C6F" w:rsidRPr="0078308F" w:rsidRDefault="00655C6F" w:rsidP="00655C6F">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Committee member: The enrollments in REGD courses </w:t>
      </w:r>
      <w:r w:rsidR="004638F2">
        <w:rPr>
          <w:rFonts w:ascii="Times New Roman" w:eastAsia="Aptos" w:hAnsi="Times New Roman" w:cs="Times New Roman"/>
        </w:rPr>
        <w:t xml:space="preserve">should </w:t>
      </w:r>
      <w:r w:rsidRPr="0078308F">
        <w:rPr>
          <w:rFonts w:ascii="Times New Roman" w:eastAsia="Aptos" w:hAnsi="Times New Roman" w:cs="Times New Roman"/>
        </w:rPr>
        <w:t>be increasing since it is the only new GEN Foundation, yet we are seeing a decline in REGD course proposals. We have speculated on possible reasons, including SB1. Do we know what the future of that foundation looks like?</w:t>
      </w:r>
    </w:p>
    <w:p w14:paraId="6CFAE5E7" w14:textId="68943D26" w:rsidR="00655C6F" w:rsidRPr="0078308F" w:rsidRDefault="00655C6F" w:rsidP="00655C6F">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Daly: There appears to be sufficient capacity for students and less need for new courses given the number of options available. The focus now could be more on assessment. We should encourage college- and division-level conversations about alignment, sustainability, and which courses need to be offered regularly within the Foundation. </w:t>
      </w:r>
    </w:p>
    <w:p w14:paraId="47129483" w14:textId="6D16E2A1" w:rsidR="00655C6F" w:rsidRPr="0078308F" w:rsidRDefault="00655C6F" w:rsidP="00655C6F">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Martin: Part of the challenge for REGD is that another college is offering a large number of asynchronous courses. We would like to develop more courses, but this competition is a concern in terms of enrollment </w:t>
      </w:r>
      <w:proofErr w:type="gramStart"/>
      <w:r w:rsidRPr="0078308F">
        <w:rPr>
          <w:rFonts w:ascii="Times New Roman" w:eastAsia="Aptos" w:hAnsi="Times New Roman" w:cs="Times New Roman"/>
        </w:rPr>
        <w:t>in</w:t>
      </w:r>
      <w:proofErr w:type="gramEnd"/>
      <w:r w:rsidRPr="0078308F">
        <w:rPr>
          <w:rFonts w:ascii="Times New Roman" w:eastAsia="Aptos" w:hAnsi="Times New Roman" w:cs="Times New Roman"/>
        </w:rPr>
        <w:t xml:space="preserve"> new courses. </w:t>
      </w:r>
    </w:p>
    <w:p w14:paraId="21EDE43A" w14:textId="3988EA71" w:rsidR="00655C6F" w:rsidRPr="0078308F" w:rsidRDefault="00655C6F" w:rsidP="00655C6F">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Committee member: Going back to the issue of course timing and scheduling, is there any discussion about building additional classrooms?</w:t>
      </w:r>
    </w:p>
    <w:p w14:paraId="36968E26" w14:textId="6D4D8306" w:rsidR="00655C6F" w:rsidRPr="0078308F" w:rsidRDefault="00655C6F" w:rsidP="00655C6F">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lastRenderedPageBreak/>
        <w:t>Daly: There are discussions, but I do not think building classrooms alone will solve the problem.</w:t>
      </w:r>
    </w:p>
    <w:p w14:paraId="461B9EBA" w14:textId="760697DE" w:rsidR="00655C6F" w:rsidRPr="0078308F" w:rsidRDefault="00655C6F" w:rsidP="00655C6F">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Committee member: This is a major issue for my unit. We put significant effort into scheduling courses during prime time.</w:t>
      </w:r>
    </w:p>
    <w:p w14:paraId="13A5D769" w14:textId="688C9D2F" w:rsidR="00655C6F" w:rsidRPr="0078308F" w:rsidRDefault="00655C6F" w:rsidP="00655C6F">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Daly: Most discussions I hear focus on smart classrooms and lab space. There is less emphasis on lecture halls, and classroom allocation is largely handled through the Registrar’s Office.</w:t>
      </w:r>
    </w:p>
    <w:p w14:paraId="25DF3689" w14:textId="295B61D5" w:rsidR="00655C6F" w:rsidRPr="0078308F" w:rsidRDefault="00655C6F" w:rsidP="00655C6F">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Committee member: ULAC might want to think about this, especially given the connection to online courses. </w:t>
      </w:r>
    </w:p>
    <w:p w14:paraId="755906F9" w14:textId="0139865A" w:rsidR="004B454D" w:rsidRPr="0078308F" w:rsidRDefault="004B454D" w:rsidP="004B454D">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Martin: I thought there had been concrete discussion about a new dedicated classroom building. Classroom space is a real issue. We have advocated for larger incoming classes, but physical capacity limits growth.</w:t>
      </w:r>
    </w:p>
    <w:p w14:paraId="4203F1E2" w14:textId="354E9BAB" w:rsidR="00655C6F" w:rsidRPr="0078308F" w:rsidRDefault="00655C6F" w:rsidP="00655C6F">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Daly: </w:t>
      </w:r>
      <w:r w:rsidR="004B454D" w:rsidRPr="0078308F">
        <w:rPr>
          <w:rFonts w:ascii="Times New Roman" w:eastAsia="Aptos" w:hAnsi="Times New Roman" w:cs="Times New Roman"/>
        </w:rPr>
        <w:t xml:space="preserve">There was a recent Senate release about this. Funding often prioritizes student life and research, with classroom space following later. </w:t>
      </w:r>
      <w:r w:rsidRPr="0078308F">
        <w:rPr>
          <w:rFonts w:ascii="Times New Roman" w:eastAsia="Aptos" w:hAnsi="Times New Roman" w:cs="Times New Roman"/>
        </w:rPr>
        <w:t xml:space="preserve">West Campus </w:t>
      </w:r>
      <w:r w:rsidR="004B454D" w:rsidRPr="0078308F">
        <w:rPr>
          <w:rFonts w:ascii="Times New Roman" w:eastAsia="Aptos" w:hAnsi="Times New Roman" w:cs="Times New Roman"/>
        </w:rPr>
        <w:t xml:space="preserve">does </w:t>
      </w:r>
      <w:r w:rsidRPr="0078308F">
        <w:rPr>
          <w:rFonts w:ascii="Times New Roman" w:eastAsia="Aptos" w:hAnsi="Times New Roman" w:cs="Times New Roman"/>
        </w:rPr>
        <w:t>ha</w:t>
      </w:r>
      <w:r w:rsidR="004B454D" w:rsidRPr="0078308F">
        <w:rPr>
          <w:rFonts w:ascii="Times New Roman" w:eastAsia="Aptos" w:hAnsi="Times New Roman" w:cs="Times New Roman"/>
        </w:rPr>
        <w:t>ve</w:t>
      </w:r>
      <w:r w:rsidRPr="0078308F">
        <w:rPr>
          <w:rFonts w:ascii="Times New Roman" w:eastAsia="Aptos" w:hAnsi="Times New Roman" w:cs="Times New Roman"/>
        </w:rPr>
        <w:t xml:space="preserve"> available space, </w:t>
      </w:r>
      <w:r w:rsidR="004B454D" w:rsidRPr="0078308F">
        <w:rPr>
          <w:rFonts w:ascii="Times New Roman" w:eastAsia="Aptos" w:hAnsi="Times New Roman" w:cs="Times New Roman"/>
        </w:rPr>
        <w:t>but that</w:t>
      </w:r>
      <w:r w:rsidRPr="0078308F">
        <w:rPr>
          <w:rFonts w:ascii="Times New Roman" w:eastAsia="Aptos" w:hAnsi="Times New Roman" w:cs="Times New Roman"/>
        </w:rPr>
        <w:t xml:space="preserve"> raises logistical challenges such as the travel time </w:t>
      </w:r>
      <w:r w:rsidR="004B454D" w:rsidRPr="0078308F">
        <w:rPr>
          <w:rFonts w:ascii="Times New Roman" w:eastAsia="Aptos" w:hAnsi="Times New Roman" w:cs="Times New Roman"/>
        </w:rPr>
        <w:t>between courses.</w:t>
      </w:r>
    </w:p>
    <w:p w14:paraId="67F50784" w14:textId="4821A5D3" w:rsidR="00655C6F" w:rsidRPr="0078308F" w:rsidRDefault="00655C6F" w:rsidP="00655C6F">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Committee member: </w:t>
      </w:r>
      <w:r w:rsidR="004B454D" w:rsidRPr="0078308F">
        <w:rPr>
          <w:rFonts w:ascii="Times New Roman" w:eastAsia="Aptos" w:hAnsi="Times New Roman" w:cs="Times New Roman"/>
        </w:rPr>
        <w:t>Is there a central place where we can see current construction projects?</w:t>
      </w:r>
    </w:p>
    <w:p w14:paraId="750725E2" w14:textId="19155B42" w:rsidR="004B454D" w:rsidRPr="0078308F" w:rsidRDefault="004B454D" w:rsidP="004B454D">
      <w:pPr>
        <w:pStyle w:val="ListParagraph"/>
        <w:numPr>
          <w:ilvl w:val="3"/>
          <w:numId w:val="3"/>
        </w:numPr>
        <w:rPr>
          <w:rFonts w:ascii="Times New Roman" w:eastAsia="Aptos" w:hAnsi="Times New Roman" w:cs="Times New Roman"/>
        </w:rPr>
      </w:pPr>
      <w:r w:rsidRPr="0078308F">
        <w:rPr>
          <w:rFonts w:ascii="Times New Roman" w:eastAsia="Aptos" w:hAnsi="Times New Roman" w:cs="Times New Roman"/>
        </w:rPr>
        <w:t xml:space="preserve">Committee member: </w:t>
      </w:r>
      <w:r w:rsidR="00A313C6" w:rsidRPr="00A313C6">
        <w:rPr>
          <w:rFonts w:ascii="Times New Roman" w:eastAsia="Aptos" w:hAnsi="Times New Roman" w:cs="Times New Roman"/>
          <w:color w:val="000000" w:themeColor="text1"/>
        </w:rPr>
        <w:t>Framework 3.0 is the university’s latest master plan iteration</w:t>
      </w:r>
      <w:r w:rsidR="00A313C6">
        <w:rPr>
          <w:rFonts w:ascii="Times New Roman" w:eastAsia="Aptos" w:hAnsi="Times New Roman" w:cs="Times New Roman"/>
          <w:color w:val="000000" w:themeColor="text1"/>
        </w:rPr>
        <w:t>.</w:t>
      </w:r>
    </w:p>
    <w:p w14:paraId="32D2FEDF" w14:textId="4A479CCA" w:rsidR="004B454D" w:rsidRPr="0078308F" w:rsidRDefault="004B454D" w:rsidP="004B454D">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Committee member: Looking back at the report, did GE Launch undergo renovation this year, and was AI literacy the main addition?</w:t>
      </w:r>
    </w:p>
    <w:p w14:paraId="739708B2" w14:textId="4847ED27" w:rsidR="004B454D" w:rsidRPr="0078308F" w:rsidRDefault="004B454D" w:rsidP="004B454D">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Daly: </w:t>
      </w:r>
      <w:r w:rsidR="006D7DFB" w:rsidRPr="0078308F">
        <w:rPr>
          <w:rFonts w:ascii="Times New Roman" w:eastAsia="Aptos" w:hAnsi="Times New Roman" w:cs="Times New Roman"/>
        </w:rPr>
        <w:t xml:space="preserve">We added AI fluency content and also worked on aligning and simplifying </w:t>
      </w:r>
      <w:proofErr w:type="gramStart"/>
      <w:r w:rsidR="006D7DFB" w:rsidRPr="0078308F">
        <w:rPr>
          <w:rFonts w:ascii="Times New Roman" w:eastAsia="Aptos" w:hAnsi="Times New Roman" w:cs="Times New Roman"/>
        </w:rPr>
        <w:t>assignments</w:t>
      </w:r>
      <w:proofErr w:type="gramEnd"/>
      <w:r w:rsidR="006D7DFB" w:rsidRPr="0078308F">
        <w:rPr>
          <w:rFonts w:ascii="Times New Roman" w:eastAsia="Aptos" w:hAnsi="Times New Roman" w:cs="Times New Roman"/>
        </w:rPr>
        <w:t xml:space="preserve"> so they better prepare students for things they value most, such as planning their degree and coursework and preparing for Reflection. Once we began teaching Reflection, we gained information about how to better align assignments with those goals.</w:t>
      </w:r>
    </w:p>
    <w:p w14:paraId="50AD6915" w14:textId="5C81174F" w:rsidR="004B454D" w:rsidRPr="0078308F" w:rsidRDefault="004B454D" w:rsidP="004B454D">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Committee member: </w:t>
      </w:r>
      <w:r w:rsidR="006D7DFB" w:rsidRPr="0078308F">
        <w:rPr>
          <w:rFonts w:ascii="Times New Roman" w:eastAsia="Aptos" w:hAnsi="Times New Roman" w:cs="Times New Roman"/>
        </w:rPr>
        <w:t xml:space="preserve">A major frustration for students is the sense that there is repetition in the Bookends with what they already do in Survey. Regarding AI fluency, this content could potentially be delivered as a walkthrough video in </w:t>
      </w:r>
      <w:proofErr w:type="spellStart"/>
      <w:r w:rsidR="006D7DFB" w:rsidRPr="0078308F">
        <w:rPr>
          <w:rFonts w:ascii="Times New Roman" w:eastAsia="Aptos" w:hAnsi="Times New Roman" w:cs="Times New Roman"/>
        </w:rPr>
        <w:t>BuckeyeLearn</w:t>
      </w:r>
      <w:proofErr w:type="spellEnd"/>
      <w:r w:rsidR="006D7DFB" w:rsidRPr="0078308F">
        <w:rPr>
          <w:rFonts w:ascii="Times New Roman" w:eastAsia="Aptos" w:hAnsi="Times New Roman" w:cs="Times New Roman"/>
        </w:rPr>
        <w:t xml:space="preserve">. There are also issues for students who have to take Launch in their second year because they could not fit it into their first year. Has there been consideration of ways to increase asynchronous offerings? </w:t>
      </w:r>
      <w:r w:rsidRPr="0078308F">
        <w:rPr>
          <w:rFonts w:ascii="Times New Roman" w:eastAsia="Aptos" w:hAnsi="Times New Roman" w:cs="Times New Roman"/>
        </w:rPr>
        <w:t xml:space="preserve">This feels especially relevant as an option as we talk about classroom space. </w:t>
      </w:r>
    </w:p>
    <w:p w14:paraId="4D0AEE59" w14:textId="31AC2650" w:rsidR="004B454D" w:rsidRPr="0078308F" w:rsidRDefault="004B454D" w:rsidP="004B454D">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Daly: </w:t>
      </w:r>
      <w:r w:rsidR="00EE1EFC" w:rsidRPr="0078308F">
        <w:rPr>
          <w:rFonts w:ascii="Times New Roman" w:eastAsia="Aptos" w:hAnsi="Times New Roman" w:cs="Times New Roman"/>
        </w:rPr>
        <w:t xml:space="preserve">Assessment data on ELOs and student feedback show that students learn less and engage substantially less when courses are asynchronous. Students say they prefer flexibility but learning </w:t>
      </w:r>
      <w:r w:rsidR="00EE1EFC" w:rsidRPr="0078308F">
        <w:rPr>
          <w:rFonts w:ascii="Times New Roman" w:eastAsia="Aptos" w:hAnsi="Times New Roman" w:cs="Times New Roman"/>
        </w:rPr>
        <w:lastRenderedPageBreak/>
        <w:t>outcomes and what students report valuing most point to real-time engagement with instructors. We could increase enrollment through asynchronous offerings, but that would diminish the student experience.</w:t>
      </w:r>
      <w:r w:rsidR="00EE1EFC" w:rsidRPr="0078308F">
        <w:rPr>
          <w:rFonts w:ascii="Times New Roman" w:hAnsi="Times New Roman" w:cs="Times New Roman"/>
        </w:rPr>
        <w:t xml:space="preserve"> </w:t>
      </w:r>
      <w:r w:rsidR="00EE1EFC" w:rsidRPr="0078308F">
        <w:rPr>
          <w:rFonts w:ascii="Times New Roman" w:eastAsia="Aptos" w:hAnsi="Times New Roman" w:cs="Times New Roman"/>
        </w:rPr>
        <w:t xml:space="preserve">We are guided by assessment data, even when it conflicts with anecdotal feedback. We focus on a substantial data set looking at students’ attainment of learning objectives embedded in assignments. We are seeing positive changes in outcomes. Some elements of the course may not be valued </w:t>
      </w:r>
      <w:proofErr w:type="gramStart"/>
      <w:r w:rsidR="00EE1EFC" w:rsidRPr="0078308F">
        <w:rPr>
          <w:rFonts w:ascii="Times New Roman" w:eastAsia="Aptos" w:hAnsi="Times New Roman" w:cs="Times New Roman"/>
        </w:rPr>
        <w:t>in</w:t>
      </w:r>
      <w:proofErr w:type="gramEnd"/>
      <w:r w:rsidR="00EE1EFC" w:rsidRPr="0078308F">
        <w:rPr>
          <w:rFonts w:ascii="Times New Roman" w:eastAsia="Aptos" w:hAnsi="Times New Roman" w:cs="Times New Roman"/>
        </w:rPr>
        <w:t xml:space="preserve"> the moment, but they prepare students for later success. There is a payoff for students, even if they do not enjoy every component. That said, this does not mean we should not continue to reevaluate. The modality question is difficult. It would be easier </w:t>
      </w:r>
      <w:proofErr w:type="gramStart"/>
      <w:r w:rsidR="00EE1EFC" w:rsidRPr="0078308F">
        <w:rPr>
          <w:rFonts w:ascii="Times New Roman" w:eastAsia="Aptos" w:hAnsi="Times New Roman" w:cs="Times New Roman"/>
        </w:rPr>
        <w:t>to</w:t>
      </w:r>
      <w:proofErr w:type="gramEnd"/>
      <w:r w:rsidR="00EE1EFC" w:rsidRPr="0078308F">
        <w:rPr>
          <w:rFonts w:ascii="Times New Roman" w:eastAsia="Aptos" w:hAnsi="Times New Roman" w:cs="Times New Roman"/>
        </w:rPr>
        <w:t xml:space="preserve"> staff and offer asynchronous courses, but we do not see comparable learning outcomes when taken online. This is also less relevant to the discussion of classroom space as the high enrollment in the Bookends allows us to access non-traditional classroom spaces.</w:t>
      </w:r>
    </w:p>
    <w:p w14:paraId="3B0C65F8" w14:textId="00E7DDFE" w:rsidR="004B454D" w:rsidRPr="0078308F" w:rsidRDefault="004B454D" w:rsidP="004B454D">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Committee member: </w:t>
      </w:r>
      <w:r w:rsidR="006D7DFB" w:rsidRPr="0078308F">
        <w:rPr>
          <w:rFonts w:ascii="Times New Roman" w:eastAsia="Aptos" w:hAnsi="Times New Roman" w:cs="Times New Roman"/>
        </w:rPr>
        <w:t xml:space="preserve">There is a disconnect between student perceptions of GE and faculty views. </w:t>
      </w:r>
      <w:r w:rsidR="00703448" w:rsidRPr="0078308F">
        <w:rPr>
          <w:rFonts w:ascii="Times New Roman" w:eastAsia="Aptos" w:hAnsi="Times New Roman" w:cs="Times New Roman"/>
        </w:rPr>
        <w:t>Students are often more focused on their GPA and getting the grade they want rather than understanding how the GE will benefit them</w:t>
      </w:r>
      <w:r w:rsidR="006D7DFB" w:rsidRPr="0078308F">
        <w:rPr>
          <w:rFonts w:ascii="Times New Roman" w:eastAsia="Aptos" w:hAnsi="Times New Roman" w:cs="Times New Roman"/>
        </w:rPr>
        <w:t xml:space="preserve">. </w:t>
      </w:r>
      <w:r w:rsidR="00703448" w:rsidRPr="0078308F">
        <w:rPr>
          <w:rFonts w:ascii="Times New Roman" w:eastAsia="Aptos" w:hAnsi="Times New Roman" w:cs="Times New Roman"/>
        </w:rPr>
        <w:t xml:space="preserve">Has there ever been consideration of making some GE courses pass/fail? </w:t>
      </w:r>
    </w:p>
    <w:p w14:paraId="1BB45183" w14:textId="54EA61A7" w:rsidR="006D7DFB" w:rsidRPr="0078308F" w:rsidRDefault="006D7DFB" w:rsidP="004B454D">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Daly: </w:t>
      </w:r>
      <w:r w:rsidR="00703448" w:rsidRPr="0078308F">
        <w:rPr>
          <w:rFonts w:ascii="Times New Roman" w:eastAsia="Aptos" w:hAnsi="Times New Roman" w:cs="Times New Roman"/>
        </w:rPr>
        <w:t xml:space="preserve">Many students take GE courses within their major, so it is difficult to distinguish whether a course is taken for the GE or the major. </w:t>
      </w:r>
      <w:r w:rsidR="00367AAC">
        <w:rPr>
          <w:rFonts w:ascii="Times New Roman" w:eastAsia="Aptos" w:hAnsi="Times New Roman" w:cs="Times New Roman"/>
        </w:rPr>
        <w:t>Also, many</w:t>
      </w:r>
      <w:r w:rsidR="00703448" w:rsidRPr="0078308F">
        <w:rPr>
          <w:rFonts w:ascii="Times New Roman" w:eastAsia="Aptos" w:hAnsi="Times New Roman" w:cs="Times New Roman"/>
        </w:rPr>
        <w:t xml:space="preserve"> of these courses are transformative and expose students to subjects they did not know they were interested in. Part of </w:t>
      </w:r>
      <w:r w:rsidR="00367AAC">
        <w:rPr>
          <w:rFonts w:ascii="Times New Roman" w:eastAsia="Aptos" w:hAnsi="Times New Roman" w:cs="Times New Roman"/>
        </w:rPr>
        <w:t>the</w:t>
      </w:r>
      <w:r w:rsidR="00703448" w:rsidRPr="0078308F">
        <w:rPr>
          <w:rFonts w:ascii="Times New Roman" w:eastAsia="Aptos" w:hAnsi="Times New Roman" w:cs="Times New Roman"/>
        </w:rPr>
        <w:t xml:space="preserve"> value </w:t>
      </w:r>
      <w:r w:rsidR="00367AAC">
        <w:rPr>
          <w:rFonts w:ascii="Times New Roman" w:eastAsia="Aptos" w:hAnsi="Times New Roman" w:cs="Times New Roman"/>
        </w:rPr>
        <w:t xml:space="preserve">of the GE </w:t>
      </w:r>
      <w:r w:rsidR="00703448" w:rsidRPr="0078308F">
        <w:rPr>
          <w:rFonts w:ascii="Times New Roman" w:eastAsia="Aptos" w:hAnsi="Times New Roman" w:cs="Times New Roman"/>
        </w:rPr>
        <w:t xml:space="preserve">lies in engaging with challenging material and learning to think differently. Removing grade pressure would likely decrease this engagement. </w:t>
      </w:r>
    </w:p>
    <w:p w14:paraId="3FCC4A12" w14:textId="44992721" w:rsidR="00810B48" w:rsidRPr="0078308F" w:rsidRDefault="00810B48" w:rsidP="00810B48">
      <w:pPr>
        <w:pStyle w:val="ListParagraph"/>
        <w:numPr>
          <w:ilvl w:val="0"/>
          <w:numId w:val="3"/>
        </w:numPr>
        <w:rPr>
          <w:rFonts w:ascii="Times New Roman" w:eastAsia="Aptos" w:hAnsi="Times New Roman" w:cs="Times New Roman"/>
        </w:rPr>
      </w:pPr>
      <w:r w:rsidRPr="0078308F">
        <w:rPr>
          <w:rFonts w:ascii="Times New Roman" w:eastAsia="Aptos" w:hAnsi="Times New Roman" w:cs="Times New Roman"/>
        </w:rPr>
        <w:t>ASCC Annual Report (R. Steele/I. Nagar)</w:t>
      </w:r>
    </w:p>
    <w:p w14:paraId="2AED3E00" w14:textId="77777777" w:rsidR="00DC4769" w:rsidRPr="0078308F" w:rsidRDefault="0070678C" w:rsidP="0070678C">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Nagar: </w:t>
      </w:r>
      <w:r w:rsidR="00DC4769" w:rsidRPr="0078308F">
        <w:rPr>
          <w:rFonts w:ascii="Times New Roman" w:eastAsia="Aptos" w:hAnsi="Times New Roman" w:cs="Times New Roman"/>
        </w:rPr>
        <w:t xml:space="preserve">The ASCC Annual Report for 2024-2025 has been completed and shared for anyone who is interested. The report provides a comprehensive summary of ASCC’s work over the academic year, including curricular initiatives as well as program and course reviews. </w:t>
      </w:r>
    </w:p>
    <w:p w14:paraId="467DA80F" w14:textId="27BA2369" w:rsidR="0070678C" w:rsidRPr="0078308F" w:rsidRDefault="0070678C" w:rsidP="0070678C">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Committee member: Has there been any progress to report on the discussion of the AI fluency requirements? </w:t>
      </w:r>
    </w:p>
    <w:p w14:paraId="69459E8A" w14:textId="35BFD876" w:rsidR="0070678C" w:rsidRPr="0078308F" w:rsidRDefault="0070678C" w:rsidP="0070678C">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Nagar: Extensive conversations have been had with various groups, but a final conclusion has not been reached. The discussions are still ongoing. </w:t>
      </w:r>
    </w:p>
    <w:p w14:paraId="2BB0DAA1" w14:textId="5AA09C61" w:rsidR="0070678C" w:rsidRPr="0078308F" w:rsidRDefault="0070678C" w:rsidP="0070678C">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Committee member: Has this been discussed at the University Senate level?</w:t>
      </w:r>
    </w:p>
    <w:p w14:paraId="28033583" w14:textId="436FA034" w:rsidR="0070678C" w:rsidRPr="0078308F" w:rsidRDefault="0070678C" w:rsidP="00284ED0">
      <w:pPr>
        <w:pStyle w:val="ListParagraph"/>
        <w:numPr>
          <w:ilvl w:val="3"/>
          <w:numId w:val="3"/>
        </w:numPr>
        <w:rPr>
          <w:rFonts w:ascii="Times New Roman" w:eastAsia="Aptos" w:hAnsi="Times New Roman" w:cs="Times New Roman"/>
        </w:rPr>
      </w:pPr>
      <w:r w:rsidRPr="0078308F">
        <w:rPr>
          <w:rFonts w:ascii="Times New Roman" w:eastAsia="Aptos" w:hAnsi="Times New Roman" w:cs="Times New Roman"/>
        </w:rPr>
        <w:t xml:space="preserve">Nagar: I do not believe that it has. </w:t>
      </w:r>
    </w:p>
    <w:p w14:paraId="3C88D9D5" w14:textId="644FE3DB" w:rsidR="0070678C" w:rsidRPr="0078308F" w:rsidRDefault="0070678C" w:rsidP="0070678C">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lastRenderedPageBreak/>
        <w:t>Martin: Where we are right now is that units are required to submit their AI fluency approach, which will go to CAA as an informational item. It will follow a similar process to the embedded literacies. Given how rapidly the landscape is changing, this approach allows for flexibility.</w:t>
      </w:r>
    </w:p>
    <w:p w14:paraId="5DCFA46E" w14:textId="6195AD38" w:rsidR="0070678C" w:rsidRPr="0078308F" w:rsidRDefault="0070678C" w:rsidP="0070678C">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Committee member: The faculty advisory group has met once, and at this point there are no plans for additional meetings.</w:t>
      </w:r>
    </w:p>
    <w:p w14:paraId="53665F3E" w14:textId="159BD84B" w:rsidR="0070678C" w:rsidRPr="0078308F" w:rsidRDefault="0070678C" w:rsidP="0070678C">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Committee member: With respect to incorporating AI into courses, are some departments finding this more challenging than others?</w:t>
      </w:r>
    </w:p>
    <w:p w14:paraId="2A4D3AEB" w14:textId="0420F400" w:rsidR="0070678C" w:rsidRPr="0078308F" w:rsidRDefault="0070678C" w:rsidP="0070678C">
      <w:pPr>
        <w:pStyle w:val="ListParagraph"/>
        <w:numPr>
          <w:ilvl w:val="3"/>
          <w:numId w:val="3"/>
        </w:numPr>
        <w:rPr>
          <w:rFonts w:ascii="Times New Roman" w:eastAsia="Aptos" w:hAnsi="Times New Roman" w:cs="Times New Roman"/>
        </w:rPr>
      </w:pPr>
      <w:r w:rsidRPr="0078308F">
        <w:rPr>
          <w:rFonts w:ascii="Times New Roman" w:eastAsia="Aptos" w:hAnsi="Times New Roman" w:cs="Times New Roman"/>
        </w:rPr>
        <w:t xml:space="preserve">Nagar: Every department has a plan and is intentionally taking a different approach. At this time, we are not seeing any significant roadblocks. The breadth of approaches aligns with the goal of the initiative. </w:t>
      </w:r>
    </w:p>
    <w:p w14:paraId="0199CB82" w14:textId="56DE5FD3" w:rsidR="0070678C" w:rsidRPr="0078308F" w:rsidRDefault="0070678C" w:rsidP="0070678C">
      <w:pPr>
        <w:pStyle w:val="ListParagraph"/>
        <w:numPr>
          <w:ilvl w:val="3"/>
          <w:numId w:val="3"/>
        </w:numPr>
        <w:rPr>
          <w:rFonts w:ascii="Times New Roman" w:eastAsia="Aptos" w:hAnsi="Times New Roman" w:cs="Times New Roman"/>
        </w:rPr>
      </w:pPr>
      <w:r w:rsidRPr="0078308F">
        <w:rPr>
          <w:rFonts w:ascii="Times New Roman" w:eastAsia="Aptos" w:hAnsi="Times New Roman" w:cs="Times New Roman"/>
        </w:rPr>
        <w:t>Martin: Units are expected to use AI in ways that make sense for their discipline—for example, Physics will incorporate it in different ways than Philosophy. Since AI fluency is meant to align with the major, this variation is expected.</w:t>
      </w:r>
    </w:p>
    <w:p w14:paraId="552F09D1" w14:textId="30FF633A" w:rsidR="0070678C" w:rsidRPr="0078308F" w:rsidRDefault="0070678C" w:rsidP="0070678C">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Ottesen, Hedgecoth; unanimously approved. </w:t>
      </w:r>
    </w:p>
    <w:p w14:paraId="5D4403C2" w14:textId="4BE3AF80" w:rsidR="003B6649" w:rsidRPr="0078308F" w:rsidRDefault="00810B48" w:rsidP="00810B48">
      <w:pPr>
        <w:pStyle w:val="ListParagraph"/>
        <w:numPr>
          <w:ilvl w:val="0"/>
          <w:numId w:val="3"/>
        </w:numPr>
        <w:rPr>
          <w:rFonts w:ascii="Times New Roman" w:eastAsia="Aptos" w:hAnsi="Times New Roman" w:cs="Times New Roman"/>
        </w:rPr>
      </w:pPr>
      <w:r w:rsidRPr="0078308F">
        <w:rPr>
          <w:rFonts w:ascii="Times New Roman" w:eastAsia="Aptos" w:hAnsi="Times New Roman" w:cs="Times New Roman"/>
        </w:rPr>
        <w:t>First-Year Seminar Report (T. Bitters)</w:t>
      </w:r>
    </w:p>
    <w:p w14:paraId="50226ADE" w14:textId="3B2B7F20" w:rsidR="00810B48" w:rsidRPr="0078308F" w:rsidRDefault="0070678C" w:rsidP="00810B48">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Bitters: For 2025</w:t>
      </w:r>
      <w:r w:rsidR="00284ED0">
        <w:rPr>
          <w:rFonts w:ascii="Times New Roman" w:eastAsia="Aptos" w:hAnsi="Times New Roman" w:cs="Times New Roman"/>
        </w:rPr>
        <w:t>-20</w:t>
      </w:r>
      <w:r w:rsidRPr="0078308F">
        <w:rPr>
          <w:rFonts w:ascii="Times New Roman" w:eastAsia="Aptos" w:hAnsi="Times New Roman" w:cs="Times New Roman"/>
        </w:rPr>
        <w:t xml:space="preserve">26, we are seeing a decrease in enrollments in first-year seminars. Part of this was related to advertising; this is the first year I did not have an opportunity to meet with advisors in the Spring to talk about the program. </w:t>
      </w:r>
    </w:p>
    <w:p w14:paraId="626574C0" w14:textId="53424B93" w:rsidR="0070678C" w:rsidRPr="0078308F" w:rsidRDefault="0070678C" w:rsidP="00284ED0">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Daly: </w:t>
      </w:r>
      <w:r w:rsidRPr="00284ED0">
        <w:rPr>
          <w:rFonts w:ascii="Times New Roman" w:eastAsia="Aptos" w:hAnsi="Times New Roman" w:cs="Times New Roman"/>
        </w:rPr>
        <w:t>Is</w:t>
      </w:r>
      <w:r w:rsidRPr="0078308F">
        <w:rPr>
          <w:rFonts w:ascii="Times New Roman" w:eastAsia="Aptos" w:hAnsi="Times New Roman" w:cs="Times New Roman"/>
        </w:rPr>
        <w:t xml:space="preserve"> this something we should discuss with the Bookends group so that they can help bring attention to the program? </w:t>
      </w:r>
    </w:p>
    <w:p w14:paraId="2710CD88" w14:textId="77777777" w:rsidR="00284ED0" w:rsidRDefault="0070678C" w:rsidP="00284ED0">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Bitter: That would be helpful. We need incoming students to know about these courses before they arrive on campus.</w:t>
      </w:r>
      <w:r w:rsidR="00DC4769" w:rsidRPr="0078308F">
        <w:rPr>
          <w:rFonts w:ascii="Times New Roman" w:eastAsia="Aptos" w:hAnsi="Times New Roman" w:cs="Times New Roman"/>
        </w:rPr>
        <w:t xml:space="preserve"> We also offer them in the second semester, and they are actually more popular then. </w:t>
      </w:r>
    </w:p>
    <w:p w14:paraId="6DAA0D1E" w14:textId="265F8155" w:rsidR="0070678C" w:rsidRPr="00284ED0" w:rsidRDefault="00DC4769" w:rsidP="00284ED0">
      <w:pPr>
        <w:pStyle w:val="ListParagraph"/>
        <w:numPr>
          <w:ilvl w:val="2"/>
          <w:numId w:val="3"/>
        </w:numPr>
        <w:rPr>
          <w:rFonts w:ascii="Times New Roman" w:eastAsia="Aptos" w:hAnsi="Times New Roman" w:cs="Times New Roman"/>
        </w:rPr>
      </w:pPr>
      <w:r w:rsidRPr="00284ED0">
        <w:rPr>
          <w:rFonts w:ascii="Times New Roman" w:eastAsia="Aptos" w:hAnsi="Times New Roman" w:cs="Times New Roman"/>
        </w:rPr>
        <w:t xml:space="preserve">Daly: It would also help to communicate early that these courses are one-credit options </w:t>
      </w:r>
      <w:r w:rsidR="00714280">
        <w:rPr>
          <w:rFonts w:ascii="Times New Roman" w:eastAsia="Aptos" w:hAnsi="Times New Roman" w:cs="Times New Roman"/>
        </w:rPr>
        <w:t>and many of them are graded S/U</w:t>
      </w:r>
      <w:r w:rsidRPr="00284ED0">
        <w:rPr>
          <w:rFonts w:ascii="Times New Roman" w:eastAsia="Aptos" w:hAnsi="Times New Roman" w:cs="Times New Roman"/>
        </w:rPr>
        <w:t>. Sometimes students withdraw from a course and fall below full-time status, so a one-credit course can help address that. These are low-stakes courses with interesting topics.</w:t>
      </w:r>
    </w:p>
    <w:p w14:paraId="5D5E30FD" w14:textId="5AF9FBE8" w:rsidR="00DC4769" w:rsidRPr="0078308F" w:rsidRDefault="00DC4769" w:rsidP="00810B48">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Nagar: I am curious about departmental participation. At one point we had around 25 departments involved, and now we’re down to 13. Is it possible that departments are not participating as much as we could?</w:t>
      </w:r>
    </w:p>
    <w:p w14:paraId="50EAD2F7" w14:textId="16898635" w:rsidR="00DC4769" w:rsidRPr="0078308F" w:rsidRDefault="00DC4769" w:rsidP="00284ED0">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Martin: I think enrollment concerns play a role. If we can provide more confidence about robust enrollment, departments may be more willing to propose these courses.</w:t>
      </w:r>
    </w:p>
    <w:p w14:paraId="7EE0AB18" w14:textId="5DF87611" w:rsidR="00DC4769" w:rsidRPr="0078308F" w:rsidRDefault="00DC4769" w:rsidP="00284ED0">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lastRenderedPageBreak/>
        <w:t>Committee member: Enrollment seemed to start dropping off with the introduction of Bookends.</w:t>
      </w:r>
    </w:p>
    <w:p w14:paraId="1CDC9347" w14:textId="3D55CAAB" w:rsidR="00DC4769" w:rsidRPr="0078308F" w:rsidRDefault="00DC4769" w:rsidP="00810B48">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Daly: There may be more detailed enrollment and participation data we can add to the annual report that would help answer some of these questions and clarify what is driving the trends we are seeing.</w:t>
      </w:r>
      <w:r w:rsidRPr="0078308F">
        <w:rPr>
          <w:rFonts w:ascii="Times New Roman" w:hAnsi="Times New Roman" w:cs="Times New Roman"/>
        </w:rPr>
        <w:t xml:space="preserve"> </w:t>
      </w:r>
      <w:r w:rsidRPr="0078308F">
        <w:rPr>
          <w:rFonts w:ascii="Times New Roman" w:eastAsia="Aptos" w:hAnsi="Times New Roman" w:cs="Times New Roman"/>
        </w:rPr>
        <w:t>Are there particular disciplines where you think students would want more options?</w:t>
      </w:r>
    </w:p>
    <w:p w14:paraId="7AD24B0B" w14:textId="29CB3AC8" w:rsidR="00DC4769" w:rsidRPr="0078308F" w:rsidRDefault="00DC4769" w:rsidP="00532868">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Bitters: Both instructors and students really like these courses, so it does not seem to be an issue of what is or is not being offered. </w:t>
      </w:r>
      <w:r w:rsidR="00EE1AC0">
        <w:rPr>
          <w:rFonts w:ascii="Times New Roman" w:eastAsia="Aptos" w:hAnsi="Times New Roman" w:cs="Times New Roman"/>
        </w:rPr>
        <w:t xml:space="preserve">I would be happy to include more data. </w:t>
      </w:r>
    </w:p>
    <w:p w14:paraId="2840D1DD" w14:textId="5A31F7CC" w:rsidR="00DC4769" w:rsidRPr="0078308F" w:rsidRDefault="00DC4769" w:rsidP="00532868">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Romero, Hedgecoth; unanimously approved. </w:t>
      </w:r>
    </w:p>
    <w:p w14:paraId="16948853" w14:textId="77777777" w:rsidR="003B6649" w:rsidRPr="0078308F" w:rsidRDefault="003B6649" w:rsidP="003B6649">
      <w:pPr>
        <w:pStyle w:val="ListParagraph"/>
        <w:numPr>
          <w:ilvl w:val="0"/>
          <w:numId w:val="3"/>
        </w:numPr>
        <w:rPr>
          <w:rFonts w:ascii="Times New Roman" w:eastAsia="Aptos" w:hAnsi="Times New Roman" w:cs="Times New Roman"/>
        </w:rPr>
      </w:pPr>
      <w:r w:rsidRPr="0078308F">
        <w:rPr>
          <w:rFonts w:ascii="Times New Roman" w:eastAsia="Aptos" w:hAnsi="Times New Roman" w:cs="Times New Roman"/>
        </w:rPr>
        <w:t>Subcommittee Updates</w:t>
      </w:r>
    </w:p>
    <w:p w14:paraId="28759479" w14:textId="180CC958" w:rsidR="003B6649" w:rsidRPr="0078308F" w:rsidRDefault="003B6649" w:rsidP="003B6649">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Arts and Humanities Subcommittee 1</w:t>
      </w:r>
    </w:p>
    <w:p w14:paraId="59680615" w14:textId="44230AE3"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NELC 4900 – approved </w:t>
      </w:r>
    </w:p>
    <w:p w14:paraId="06BE4406"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NELC 2111 – approved with contingency </w:t>
      </w:r>
    </w:p>
    <w:p w14:paraId="4C445F57"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Film Studies 4660 – approved with contingency</w:t>
      </w:r>
    </w:p>
    <w:p w14:paraId="760A592E"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Film Studies – 3997 – approved with contingency </w:t>
      </w:r>
    </w:p>
    <w:p w14:paraId="060C2BFB"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Slavic Languages and Literatures 3997 – approved with contingency</w:t>
      </w:r>
    </w:p>
    <w:p w14:paraId="37644DD1"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Women’s, Gender, and Sexuality Studies 3997 – approved with contingency</w:t>
      </w:r>
    </w:p>
    <w:p w14:paraId="6387D241" w14:textId="346F2F44" w:rsidR="003B6649" w:rsidRPr="0078308F" w:rsidRDefault="003B6649" w:rsidP="003B6649">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Arts and Humanities Subcommittee 2</w:t>
      </w:r>
    </w:p>
    <w:p w14:paraId="2E09E58B" w14:textId="4B02CF5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N/A</w:t>
      </w:r>
    </w:p>
    <w:p w14:paraId="37750019" w14:textId="34A75993" w:rsidR="003B6649" w:rsidRPr="0078308F" w:rsidRDefault="003B6649" w:rsidP="003B6649">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Natural and Mathematical Sciences Subcommittee </w:t>
      </w:r>
    </w:p>
    <w:p w14:paraId="09EDD48A" w14:textId="2244F555"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Physics 2110 – approved</w:t>
      </w:r>
    </w:p>
    <w:p w14:paraId="03FF7ABE"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Molecular Genetics 5720 – approved with contingency</w:t>
      </w:r>
    </w:p>
    <w:p w14:paraId="7B147EDF"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Biology 3120 – approved with contingency </w:t>
      </w:r>
    </w:p>
    <w:p w14:paraId="5C542586"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Evolution, Ecology, and Organismal Biology 3610 – approved </w:t>
      </w:r>
    </w:p>
    <w:p w14:paraId="233070E7"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Astronomy 2250 – approved with contingency </w:t>
      </w:r>
    </w:p>
    <w:p w14:paraId="700DD103" w14:textId="4DD70E44" w:rsidR="003B6649" w:rsidRPr="0078308F" w:rsidRDefault="003B6649" w:rsidP="003B6649">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Social and Behavioral Sciences Subcommittee</w:t>
      </w:r>
    </w:p>
    <w:p w14:paraId="35A1C9D9" w14:textId="503A0AFD"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N/A</w:t>
      </w:r>
    </w:p>
    <w:p w14:paraId="529187A5" w14:textId="6FB14391" w:rsidR="003B6649" w:rsidRPr="0078308F" w:rsidRDefault="003B6649" w:rsidP="003B6649">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Race, Ethnicity and Gender Diversity Subcommittee </w:t>
      </w:r>
    </w:p>
    <w:p w14:paraId="2846E1F1" w14:textId="0DF57D9A"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N/A</w:t>
      </w:r>
    </w:p>
    <w:p w14:paraId="3DC8243C" w14:textId="1B42192B" w:rsidR="003B6649" w:rsidRPr="0078308F" w:rsidRDefault="003B6649" w:rsidP="003B6649">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Themes Subcommittee 1</w:t>
      </w:r>
    </w:p>
    <w:p w14:paraId="6C6624F5" w14:textId="5749F68C"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NELC 3535 – approved with contingency </w:t>
      </w:r>
    </w:p>
    <w:p w14:paraId="25A4BF8A"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AAAS 3460 – approved with contingency </w:t>
      </w:r>
    </w:p>
    <w:p w14:paraId="3C54CE33"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Music 3460 – approved with contingency </w:t>
      </w:r>
    </w:p>
    <w:p w14:paraId="1C7755CB"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Slavic 3380 – approved </w:t>
      </w:r>
    </w:p>
    <w:p w14:paraId="2923095D" w14:textId="77777777"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 xml:space="preserve">Pharmacy 3430S – approved </w:t>
      </w:r>
    </w:p>
    <w:p w14:paraId="2314404C" w14:textId="088ED6E7" w:rsidR="003B6649" w:rsidRPr="0078308F" w:rsidRDefault="003B6649" w:rsidP="003B6649">
      <w:pPr>
        <w:pStyle w:val="ListParagraph"/>
        <w:numPr>
          <w:ilvl w:val="1"/>
          <w:numId w:val="3"/>
        </w:numPr>
        <w:rPr>
          <w:rFonts w:ascii="Times New Roman" w:eastAsia="Aptos" w:hAnsi="Times New Roman" w:cs="Times New Roman"/>
        </w:rPr>
      </w:pPr>
      <w:r w:rsidRPr="0078308F">
        <w:rPr>
          <w:rFonts w:ascii="Times New Roman" w:eastAsia="Aptos" w:hAnsi="Times New Roman" w:cs="Times New Roman"/>
        </w:rPr>
        <w:t xml:space="preserve">Themes Subcommittee 2 </w:t>
      </w:r>
    </w:p>
    <w:p w14:paraId="5967B0FD" w14:textId="47607FE8" w:rsidR="003B6649" w:rsidRPr="0078308F" w:rsidRDefault="003B6649" w:rsidP="003B6649">
      <w:pPr>
        <w:pStyle w:val="ListParagraph"/>
        <w:numPr>
          <w:ilvl w:val="2"/>
          <w:numId w:val="3"/>
        </w:numPr>
        <w:rPr>
          <w:rFonts w:ascii="Times New Roman" w:eastAsia="Aptos" w:hAnsi="Times New Roman" w:cs="Times New Roman"/>
        </w:rPr>
      </w:pPr>
      <w:r w:rsidRPr="0078308F">
        <w:rPr>
          <w:rFonts w:ascii="Times New Roman" w:eastAsia="Aptos" w:hAnsi="Times New Roman" w:cs="Times New Roman"/>
        </w:rPr>
        <w:t>Slavic 3310 – approved with contingency</w:t>
      </w:r>
    </w:p>
    <w:p w14:paraId="5D296166" w14:textId="77777777" w:rsidR="00DE1ACD" w:rsidRDefault="00DE1ACD"/>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6D3"/>
    <w:multiLevelType w:val="multilevel"/>
    <w:tmpl w:val="3DF0AC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E5FA1"/>
    <w:multiLevelType w:val="hybridMultilevel"/>
    <w:tmpl w:val="BF6883DC"/>
    <w:lvl w:ilvl="0" w:tplc="04090005">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1A9754B6"/>
    <w:multiLevelType w:val="multilevel"/>
    <w:tmpl w:val="FDC0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9268C"/>
    <w:multiLevelType w:val="multilevel"/>
    <w:tmpl w:val="1600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87AEE"/>
    <w:multiLevelType w:val="multilevel"/>
    <w:tmpl w:val="9CB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9C1E95"/>
    <w:multiLevelType w:val="multilevel"/>
    <w:tmpl w:val="DE80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A31AD2"/>
    <w:multiLevelType w:val="multilevel"/>
    <w:tmpl w:val="47B6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5054CE"/>
    <w:multiLevelType w:val="hybridMultilevel"/>
    <w:tmpl w:val="66820F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2E20F31"/>
    <w:multiLevelType w:val="multilevel"/>
    <w:tmpl w:val="FA24E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9E57EB"/>
    <w:multiLevelType w:val="multilevel"/>
    <w:tmpl w:val="5AC6E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C430F8"/>
    <w:multiLevelType w:val="multilevel"/>
    <w:tmpl w:val="AEC2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083789"/>
    <w:multiLevelType w:val="hybridMultilevel"/>
    <w:tmpl w:val="64BA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F282C"/>
    <w:multiLevelType w:val="hybridMultilevel"/>
    <w:tmpl w:val="932C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B3A83"/>
    <w:multiLevelType w:val="hybridMultilevel"/>
    <w:tmpl w:val="E27A12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0835587">
    <w:abstractNumId w:val="4"/>
  </w:num>
  <w:num w:numId="2" w16cid:durableId="1511331170">
    <w:abstractNumId w:val="2"/>
  </w:num>
  <w:num w:numId="3" w16cid:durableId="1488781697">
    <w:abstractNumId w:val="13"/>
  </w:num>
  <w:num w:numId="4" w16cid:durableId="1022435955">
    <w:abstractNumId w:val="7"/>
  </w:num>
  <w:num w:numId="5" w16cid:durableId="1805808643">
    <w:abstractNumId w:val="1"/>
  </w:num>
  <w:num w:numId="6" w16cid:durableId="1378897857">
    <w:abstractNumId w:val="11"/>
  </w:num>
  <w:num w:numId="7" w16cid:durableId="1349596903">
    <w:abstractNumId w:val="12"/>
  </w:num>
  <w:num w:numId="8" w16cid:durableId="2086760349">
    <w:abstractNumId w:val="0"/>
  </w:num>
  <w:num w:numId="9" w16cid:durableId="472337631">
    <w:abstractNumId w:val="5"/>
  </w:num>
  <w:num w:numId="10" w16cid:durableId="1110468798">
    <w:abstractNumId w:val="9"/>
  </w:num>
  <w:num w:numId="11" w16cid:durableId="1864707475">
    <w:abstractNumId w:val="8"/>
  </w:num>
  <w:num w:numId="12" w16cid:durableId="1260481727">
    <w:abstractNumId w:val="3"/>
  </w:num>
  <w:num w:numId="13" w16cid:durableId="2070807898">
    <w:abstractNumId w:val="6"/>
  </w:num>
  <w:num w:numId="14" w16cid:durableId="1016925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49"/>
    <w:rsid w:val="00084F8B"/>
    <w:rsid w:val="000B2AB4"/>
    <w:rsid w:val="001926BD"/>
    <w:rsid w:val="00196201"/>
    <w:rsid w:val="00197C87"/>
    <w:rsid w:val="001A7F1A"/>
    <w:rsid w:val="001B133D"/>
    <w:rsid w:val="00284ED0"/>
    <w:rsid w:val="00367AAC"/>
    <w:rsid w:val="003B6649"/>
    <w:rsid w:val="003E5D06"/>
    <w:rsid w:val="003F4090"/>
    <w:rsid w:val="00444F76"/>
    <w:rsid w:val="0045696C"/>
    <w:rsid w:val="004638F2"/>
    <w:rsid w:val="004B454D"/>
    <w:rsid w:val="00532868"/>
    <w:rsid w:val="005E4403"/>
    <w:rsid w:val="00655C6F"/>
    <w:rsid w:val="0068552F"/>
    <w:rsid w:val="006C45F3"/>
    <w:rsid w:val="006D7DFB"/>
    <w:rsid w:val="00701ACB"/>
    <w:rsid w:val="00703448"/>
    <w:rsid w:val="0070678C"/>
    <w:rsid w:val="00714280"/>
    <w:rsid w:val="0072508A"/>
    <w:rsid w:val="0078308F"/>
    <w:rsid w:val="00810B48"/>
    <w:rsid w:val="0081449C"/>
    <w:rsid w:val="008B3F03"/>
    <w:rsid w:val="009727D2"/>
    <w:rsid w:val="009B51D2"/>
    <w:rsid w:val="00A1369D"/>
    <w:rsid w:val="00A313C6"/>
    <w:rsid w:val="00A54268"/>
    <w:rsid w:val="00A905D0"/>
    <w:rsid w:val="00B67BF4"/>
    <w:rsid w:val="00BD7E63"/>
    <w:rsid w:val="00BE3197"/>
    <w:rsid w:val="00C42144"/>
    <w:rsid w:val="00C45320"/>
    <w:rsid w:val="00C524F7"/>
    <w:rsid w:val="00DA4E23"/>
    <w:rsid w:val="00DC4769"/>
    <w:rsid w:val="00DE1ACD"/>
    <w:rsid w:val="00E02130"/>
    <w:rsid w:val="00EE1AC0"/>
    <w:rsid w:val="00EE1EFC"/>
    <w:rsid w:val="00F302DE"/>
    <w:rsid w:val="00F64341"/>
    <w:rsid w:val="00FE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EC70"/>
  <w15:chartTrackingRefBased/>
  <w15:docId w15:val="{2CAC3587-AFEC-4C8D-AC18-BA8EBAE6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649"/>
  </w:style>
  <w:style w:type="paragraph" w:styleId="Heading1">
    <w:name w:val="heading 1"/>
    <w:basedOn w:val="Normal"/>
    <w:next w:val="Normal"/>
    <w:link w:val="Heading1Char"/>
    <w:uiPriority w:val="9"/>
    <w:qFormat/>
    <w:rsid w:val="003B6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649"/>
    <w:rPr>
      <w:rFonts w:eastAsiaTheme="majorEastAsia" w:cstheme="majorBidi"/>
      <w:color w:val="272727" w:themeColor="text1" w:themeTint="D8"/>
    </w:rPr>
  </w:style>
  <w:style w:type="paragraph" w:styleId="Title">
    <w:name w:val="Title"/>
    <w:basedOn w:val="Normal"/>
    <w:next w:val="Normal"/>
    <w:link w:val="TitleChar"/>
    <w:uiPriority w:val="10"/>
    <w:qFormat/>
    <w:rsid w:val="003B6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649"/>
    <w:pPr>
      <w:spacing w:before="160"/>
      <w:jc w:val="center"/>
    </w:pPr>
    <w:rPr>
      <w:i/>
      <w:iCs/>
      <w:color w:val="404040" w:themeColor="text1" w:themeTint="BF"/>
    </w:rPr>
  </w:style>
  <w:style w:type="character" w:customStyle="1" w:styleId="QuoteChar">
    <w:name w:val="Quote Char"/>
    <w:basedOn w:val="DefaultParagraphFont"/>
    <w:link w:val="Quote"/>
    <w:uiPriority w:val="29"/>
    <w:rsid w:val="003B6649"/>
    <w:rPr>
      <w:i/>
      <w:iCs/>
      <w:color w:val="404040" w:themeColor="text1" w:themeTint="BF"/>
    </w:rPr>
  </w:style>
  <w:style w:type="paragraph" w:styleId="ListParagraph">
    <w:name w:val="List Paragraph"/>
    <w:basedOn w:val="Normal"/>
    <w:uiPriority w:val="34"/>
    <w:qFormat/>
    <w:rsid w:val="003B6649"/>
    <w:pPr>
      <w:ind w:left="720"/>
      <w:contextualSpacing/>
    </w:pPr>
  </w:style>
  <w:style w:type="character" w:styleId="IntenseEmphasis">
    <w:name w:val="Intense Emphasis"/>
    <w:basedOn w:val="DefaultParagraphFont"/>
    <w:uiPriority w:val="21"/>
    <w:qFormat/>
    <w:rsid w:val="003B6649"/>
    <w:rPr>
      <w:i/>
      <w:iCs/>
      <w:color w:val="0F4761" w:themeColor="accent1" w:themeShade="BF"/>
    </w:rPr>
  </w:style>
  <w:style w:type="paragraph" w:styleId="IntenseQuote">
    <w:name w:val="Intense Quote"/>
    <w:basedOn w:val="Normal"/>
    <w:next w:val="Normal"/>
    <w:link w:val="IntenseQuoteChar"/>
    <w:uiPriority w:val="30"/>
    <w:qFormat/>
    <w:rsid w:val="003B6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649"/>
    <w:rPr>
      <w:i/>
      <w:iCs/>
      <w:color w:val="0F4761" w:themeColor="accent1" w:themeShade="BF"/>
    </w:rPr>
  </w:style>
  <w:style w:type="character" w:styleId="IntenseReference">
    <w:name w:val="Intense Reference"/>
    <w:basedOn w:val="DefaultParagraphFont"/>
    <w:uiPriority w:val="32"/>
    <w:qFormat/>
    <w:rsid w:val="003B6649"/>
    <w:rPr>
      <w:b/>
      <w:bCs/>
      <w:smallCaps/>
      <w:color w:val="0F4761" w:themeColor="accent1" w:themeShade="BF"/>
      <w:spacing w:val="5"/>
    </w:rPr>
  </w:style>
  <w:style w:type="paragraph" w:styleId="NormalWeb">
    <w:name w:val="Normal (Web)"/>
    <w:basedOn w:val="Normal"/>
    <w:uiPriority w:val="99"/>
    <w:semiHidden/>
    <w:unhideWhenUsed/>
    <w:rsid w:val="00FE0DBE"/>
    <w:rPr>
      <w:rFonts w:ascii="Times New Roman" w:hAnsi="Times New Roman" w:cs="Times New Roman"/>
    </w:rPr>
  </w:style>
  <w:style w:type="character" w:styleId="Hyperlink">
    <w:name w:val="Hyperlink"/>
    <w:basedOn w:val="DefaultParagraphFont"/>
    <w:uiPriority w:val="99"/>
    <w:unhideWhenUsed/>
    <w:rsid w:val="00F64341"/>
    <w:rPr>
      <w:color w:val="467886" w:themeColor="hyperlink"/>
      <w:u w:val="single"/>
    </w:rPr>
  </w:style>
  <w:style w:type="character" w:styleId="UnresolvedMention">
    <w:name w:val="Unresolved Mention"/>
    <w:basedOn w:val="DefaultParagraphFont"/>
    <w:uiPriority w:val="99"/>
    <w:semiHidden/>
    <w:unhideWhenUsed/>
    <w:rsid w:val="00F64341"/>
    <w:rPr>
      <w:color w:val="605E5C"/>
      <w:shd w:val="clear" w:color="auto" w:fill="E1DFDD"/>
    </w:rPr>
  </w:style>
  <w:style w:type="character" w:styleId="CommentReference">
    <w:name w:val="annotation reference"/>
    <w:basedOn w:val="DefaultParagraphFont"/>
    <w:uiPriority w:val="99"/>
    <w:semiHidden/>
    <w:unhideWhenUsed/>
    <w:rsid w:val="00367AAC"/>
    <w:rPr>
      <w:sz w:val="16"/>
      <w:szCs w:val="16"/>
    </w:rPr>
  </w:style>
  <w:style w:type="paragraph" w:styleId="CommentText">
    <w:name w:val="annotation text"/>
    <w:basedOn w:val="Normal"/>
    <w:link w:val="CommentTextChar"/>
    <w:uiPriority w:val="99"/>
    <w:unhideWhenUsed/>
    <w:rsid w:val="00367AAC"/>
    <w:pPr>
      <w:spacing w:line="240" w:lineRule="auto"/>
    </w:pPr>
    <w:rPr>
      <w:sz w:val="20"/>
      <w:szCs w:val="20"/>
    </w:rPr>
  </w:style>
  <w:style w:type="character" w:customStyle="1" w:styleId="CommentTextChar">
    <w:name w:val="Comment Text Char"/>
    <w:basedOn w:val="DefaultParagraphFont"/>
    <w:link w:val="CommentText"/>
    <w:uiPriority w:val="99"/>
    <w:rsid w:val="00367AAC"/>
    <w:rPr>
      <w:sz w:val="20"/>
      <w:szCs w:val="20"/>
    </w:rPr>
  </w:style>
  <w:style w:type="paragraph" w:styleId="CommentSubject">
    <w:name w:val="annotation subject"/>
    <w:basedOn w:val="CommentText"/>
    <w:next w:val="CommentText"/>
    <w:link w:val="CommentSubjectChar"/>
    <w:uiPriority w:val="99"/>
    <w:semiHidden/>
    <w:unhideWhenUsed/>
    <w:rsid w:val="00367AAC"/>
    <w:rPr>
      <w:b/>
      <w:bCs/>
    </w:rPr>
  </w:style>
  <w:style w:type="character" w:customStyle="1" w:styleId="CommentSubjectChar">
    <w:name w:val="Comment Subject Char"/>
    <w:basedOn w:val="CommentTextChar"/>
    <w:link w:val="CommentSubject"/>
    <w:uiPriority w:val="99"/>
    <w:semiHidden/>
    <w:rsid w:val="00367AAC"/>
    <w:rPr>
      <w:b/>
      <w:bCs/>
      <w:sz w:val="20"/>
      <w:szCs w:val="20"/>
    </w:rPr>
  </w:style>
  <w:style w:type="paragraph" w:styleId="Revision">
    <w:name w:val="Revision"/>
    <w:hidden/>
    <w:uiPriority w:val="99"/>
    <w:semiHidden/>
    <w:rsid w:val="00C42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A618-930E-4FCC-AACD-7DA92CDE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2542</Words>
  <Characters>13575</Characters>
  <Application>Microsoft Office Word</Application>
  <DocSecurity>0</DocSecurity>
  <Lines>277</Lines>
  <Paragraphs>112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4</cp:revision>
  <dcterms:created xsi:type="dcterms:W3CDTF">2026-01-28T19:50:00Z</dcterms:created>
  <dcterms:modified xsi:type="dcterms:W3CDTF">2026-01-28T19:52:00Z</dcterms:modified>
</cp:coreProperties>
</file>